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A49" w:rsidRPr="00AD748B" w:rsidRDefault="00AD748B">
      <w:pPr>
        <w:rPr>
          <w:b/>
          <w:lang w:val="en-GB"/>
        </w:rPr>
      </w:pPr>
      <w:r w:rsidRPr="00AD748B">
        <w:rPr>
          <w:b/>
          <w:lang w:val="en-GB"/>
        </w:rPr>
        <w:t xml:space="preserve">Concept for </w:t>
      </w:r>
      <w:r w:rsidR="003C4066">
        <w:rPr>
          <w:b/>
          <w:lang w:val="en-GB"/>
        </w:rPr>
        <w:t xml:space="preserve">refined FOCUS exposure simulations </w:t>
      </w:r>
      <w:r w:rsidRPr="00AD748B">
        <w:rPr>
          <w:b/>
          <w:lang w:val="en-GB"/>
        </w:rPr>
        <w:t xml:space="preserve">with </w:t>
      </w:r>
      <w:r w:rsidR="009C1F33">
        <w:rPr>
          <w:b/>
          <w:lang w:val="en-GB"/>
        </w:rPr>
        <w:t>PERKLA</w:t>
      </w:r>
      <w:r w:rsidR="003C4066">
        <w:rPr>
          <w:b/>
          <w:lang w:val="en-GB"/>
        </w:rPr>
        <w:t xml:space="preserve"> (CaCN</w:t>
      </w:r>
      <w:r w:rsidR="003C4066" w:rsidRPr="003C4066">
        <w:rPr>
          <w:b/>
          <w:vertAlign w:val="subscript"/>
          <w:lang w:val="en-GB"/>
        </w:rPr>
        <w:t>2</w:t>
      </w:r>
      <w:r w:rsidR="003C4066">
        <w:rPr>
          <w:b/>
          <w:lang w:val="en-GB"/>
        </w:rPr>
        <w:t>)</w:t>
      </w:r>
    </w:p>
    <w:p w:rsidR="00AD748B" w:rsidRPr="008B3020" w:rsidRDefault="00AD748B">
      <w:pPr>
        <w:rPr>
          <w:i/>
          <w:lang w:val="en-GB"/>
        </w:rPr>
      </w:pPr>
      <w:r w:rsidRPr="008B3020">
        <w:rPr>
          <w:i/>
          <w:lang w:val="en-GB"/>
        </w:rPr>
        <w:t>Background and motivation</w:t>
      </w:r>
    </w:p>
    <w:p w:rsidR="003C4066" w:rsidRDefault="003C4066">
      <w:pPr>
        <w:rPr>
          <w:lang w:val="en-GB"/>
        </w:rPr>
      </w:pPr>
      <w:r>
        <w:rPr>
          <w:lang w:val="en-GB"/>
        </w:rPr>
        <w:t xml:space="preserve">In order to evaluate the potential risk for surface water organisms </w:t>
      </w:r>
      <w:r w:rsidR="00F333B6">
        <w:rPr>
          <w:lang w:val="en-GB"/>
        </w:rPr>
        <w:t xml:space="preserve">after applications of PERKLA on agricultural fields </w:t>
      </w:r>
      <w:r w:rsidR="00F333B6">
        <w:rPr>
          <w:lang w:val="en-GB"/>
        </w:rPr>
        <w:t>SCHER (2016)</w:t>
      </w:r>
      <w:r w:rsidR="00F333B6">
        <w:rPr>
          <w:lang w:val="en-GB"/>
        </w:rPr>
        <w:t xml:space="preserve"> </w:t>
      </w:r>
      <w:r>
        <w:rPr>
          <w:lang w:val="en-GB"/>
        </w:rPr>
        <w:t xml:space="preserve">has presented standard computer simulations using the FOCUS surface water models and </w:t>
      </w:r>
      <w:r w:rsidR="00F333B6">
        <w:rPr>
          <w:lang w:val="en-GB"/>
        </w:rPr>
        <w:t xml:space="preserve">FOCUS </w:t>
      </w:r>
      <w:r>
        <w:rPr>
          <w:lang w:val="en-GB"/>
        </w:rPr>
        <w:t>scenarios</w:t>
      </w:r>
      <w:r w:rsidR="007B7621">
        <w:rPr>
          <w:lang w:val="en-GB"/>
        </w:rPr>
        <w:t xml:space="preserve">. </w:t>
      </w:r>
      <w:r w:rsidR="00035955" w:rsidRPr="00B51242">
        <w:rPr>
          <w:lang w:val="en-GB"/>
        </w:rPr>
        <w:t xml:space="preserve">PERKLA is </w:t>
      </w:r>
      <w:r w:rsidR="00035955" w:rsidRPr="00B51242">
        <w:rPr>
          <w:lang w:val="en-GB"/>
        </w:rPr>
        <w:t>a formulation</w:t>
      </w:r>
      <w:r w:rsidR="00035955" w:rsidRPr="00B51242">
        <w:rPr>
          <w:lang w:val="en-GB"/>
        </w:rPr>
        <w:t xml:space="preserve"> (granules) which contains CaCN</w:t>
      </w:r>
      <w:r w:rsidR="00035955" w:rsidRPr="00B51242">
        <w:rPr>
          <w:vertAlign w:val="subscript"/>
          <w:lang w:val="en-GB"/>
        </w:rPr>
        <w:t>2</w:t>
      </w:r>
      <w:r w:rsidR="00035955" w:rsidRPr="00B51242">
        <w:rPr>
          <w:lang w:val="en-GB"/>
        </w:rPr>
        <w:t xml:space="preserve"> as a fertiliser. It is </w:t>
      </w:r>
      <w:r w:rsidR="00035955" w:rsidRPr="00B51242">
        <w:rPr>
          <w:lang w:val="en-GB"/>
        </w:rPr>
        <w:t xml:space="preserve">applied to the field by a tractor mounted with suitable equipment to distribute the formulation equally. </w:t>
      </w:r>
      <w:r w:rsidR="00035955" w:rsidRPr="00B51242">
        <w:rPr>
          <w:lang w:val="en-GB"/>
        </w:rPr>
        <w:t xml:space="preserve">Due to the application </w:t>
      </w:r>
      <w:r w:rsidR="00630FA9" w:rsidRPr="00B51242">
        <w:rPr>
          <w:lang w:val="en-GB"/>
        </w:rPr>
        <w:t>technique,</w:t>
      </w:r>
      <w:r w:rsidR="00035955" w:rsidRPr="00B51242">
        <w:rPr>
          <w:lang w:val="en-GB"/>
        </w:rPr>
        <w:t xml:space="preserve"> spray drift should not add to the contamination of surface water</w:t>
      </w:r>
      <w:r w:rsidR="00630FA9">
        <w:rPr>
          <w:lang w:val="en-GB"/>
        </w:rPr>
        <w:t>. This entry route</w:t>
      </w:r>
      <w:r w:rsidR="00035955" w:rsidRPr="00B51242">
        <w:rPr>
          <w:lang w:val="en-GB"/>
        </w:rPr>
        <w:t xml:space="preserve"> was therefore </w:t>
      </w:r>
      <w:r w:rsidR="00FB1B79" w:rsidRPr="00B51242">
        <w:rPr>
          <w:lang w:val="en-GB"/>
        </w:rPr>
        <w:t>not taken into consideration by SCHER (2016)</w:t>
      </w:r>
      <w:r w:rsidR="00035955" w:rsidRPr="00B51242">
        <w:rPr>
          <w:lang w:val="en-GB"/>
        </w:rPr>
        <w:t xml:space="preserve">. </w:t>
      </w:r>
      <w:r w:rsidR="00630FA9">
        <w:rPr>
          <w:lang w:val="en-GB"/>
        </w:rPr>
        <w:t>Instead</w:t>
      </w:r>
      <w:r w:rsidR="00035955" w:rsidRPr="00B51242">
        <w:rPr>
          <w:lang w:val="en-GB"/>
        </w:rPr>
        <w:t xml:space="preserve">, </w:t>
      </w:r>
      <w:r w:rsidR="00630FA9">
        <w:rPr>
          <w:lang w:val="en-GB"/>
        </w:rPr>
        <w:t>the CN</w:t>
      </w:r>
      <w:r w:rsidR="00630FA9">
        <w:rPr>
          <w:vertAlign w:val="subscript"/>
          <w:lang w:val="en-GB"/>
        </w:rPr>
        <w:t>2</w:t>
      </w:r>
      <w:r w:rsidR="00630FA9">
        <w:rPr>
          <w:vertAlign w:val="superscript"/>
          <w:lang w:val="en-GB"/>
        </w:rPr>
        <w:t>2-</w:t>
      </w:r>
      <w:r w:rsidR="00630FA9">
        <w:rPr>
          <w:lang w:val="en-GB"/>
        </w:rPr>
        <w:t xml:space="preserve"> concentrations in surface water w</w:t>
      </w:r>
      <w:r w:rsidR="00C4609E">
        <w:rPr>
          <w:lang w:val="en-GB"/>
        </w:rPr>
        <w:t>ere</w:t>
      </w:r>
      <w:bookmarkStart w:id="0" w:name="_GoBack"/>
      <w:bookmarkEnd w:id="0"/>
      <w:r w:rsidR="00630FA9">
        <w:rPr>
          <w:lang w:val="en-GB"/>
        </w:rPr>
        <w:t xml:space="preserve"> based on </w:t>
      </w:r>
      <w:r w:rsidR="00FB1B79" w:rsidRPr="00B51242">
        <w:rPr>
          <w:lang w:val="en-GB"/>
        </w:rPr>
        <w:t xml:space="preserve">drainage and run-off </w:t>
      </w:r>
      <w:r w:rsidR="00630FA9">
        <w:rPr>
          <w:lang w:val="en-GB"/>
        </w:rPr>
        <w:t>entries</w:t>
      </w:r>
      <w:r w:rsidR="00FB1B79" w:rsidRPr="00B51242">
        <w:rPr>
          <w:lang w:val="en-GB"/>
        </w:rPr>
        <w:t xml:space="preserve">. </w:t>
      </w:r>
      <w:r w:rsidR="007B7621">
        <w:rPr>
          <w:lang w:val="en-GB"/>
        </w:rPr>
        <w:t xml:space="preserve">Due to the high dose of 450 kg/ha per year (worst case scenario) </w:t>
      </w:r>
      <w:r w:rsidR="00FB1B79">
        <w:rPr>
          <w:lang w:val="en-GB"/>
        </w:rPr>
        <w:t xml:space="preserve">especially the concentrations </w:t>
      </w:r>
      <w:r w:rsidR="00B51242">
        <w:rPr>
          <w:lang w:val="en-GB"/>
        </w:rPr>
        <w:t xml:space="preserve">induced </w:t>
      </w:r>
      <w:r w:rsidR="00FB1B79">
        <w:rPr>
          <w:lang w:val="en-GB"/>
        </w:rPr>
        <w:t xml:space="preserve">by run-off </w:t>
      </w:r>
      <w:r w:rsidR="00B51242">
        <w:rPr>
          <w:lang w:val="en-GB"/>
        </w:rPr>
        <w:t xml:space="preserve">events </w:t>
      </w:r>
      <w:r w:rsidR="00FB1B79">
        <w:rPr>
          <w:lang w:val="en-GB"/>
        </w:rPr>
        <w:t>exceeded the ecotoxicological trigger significantly. An overview about the</w:t>
      </w:r>
      <w:r w:rsidR="00B51242">
        <w:rPr>
          <w:lang w:val="en-GB"/>
        </w:rPr>
        <w:t>ir</w:t>
      </w:r>
      <w:r w:rsidR="00FB1B79">
        <w:rPr>
          <w:lang w:val="en-GB"/>
        </w:rPr>
        <w:t xml:space="preserve"> results is presented in the following table:</w:t>
      </w:r>
    </w:p>
    <w:p w:rsidR="00FB1B79" w:rsidRDefault="00B51242" w:rsidP="00DC5C5F">
      <w:pPr>
        <w:rPr>
          <w:lang w:val="en-GB"/>
        </w:rPr>
      </w:pPr>
      <w:r>
        <w:rPr>
          <w:b/>
          <w:bCs/>
          <w:sz w:val="18"/>
          <w:szCs w:val="18"/>
          <w:lang w:val="en-GB"/>
        </w:rPr>
        <w:t xml:space="preserve">Table: </w:t>
      </w:r>
      <w:r w:rsidR="00DC5C5F" w:rsidRPr="00DC5C5F">
        <w:rPr>
          <w:b/>
          <w:bCs/>
          <w:sz w:val="18"/>
          <w:szCs w:val="18"/>
          <w:lang w:val="en-GB"/>
        </w:rPr>
        <w:t>PECsw – FOCUS modelling results for CaCN</w:t>
      </w:r>
      <w:r w:rsidR="00DC5C5F" w:rsidRPr="00DC5C5F">
        <w:rPr>
          <w:b/>
          <w:bCs/>
          <w:sz w:val="12"/>
          <w:szCs w:val="12"/>
          <w:lang w:val="en-GB"/>
        </w:rPr>
        <w:t xml:space="preserve">2 </w:t>
      </w:r>
      <w:r w:rsidR="00DC5C5F" w:rsidRPr="00DC5C5F">
        <w:rPr>
          <w:b/>
          <w:bCs/>
          <w:sz w:val="18"/>
          <w:szCs w:val="18"/>
          <w:lang w:val="en-GB"/>
        </w:rPr>
        <w:t xml:space="preserve">in surface waters </w:t>
      </w:r>
      <w:r w:rsidR="00DC5C5F">
        <w:rPr>
          <w:b/>
          <w:bCs/>
          <w:sz w:val="18"/>
          <w:szCs w:val="18"/>
          <w:lang w:val="en-GB"/>
        </w:rPr>
        <w:t>according to SCHER (2006)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2694"/>
        <w:gridCol w:w="2693"/>
      </w:tblGrid>
      <w:tr w:rsidR="00FB1B79" w:rsidRPr="00FB1B79" w:rsidTr="009C1F33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371" w:type="dxa"/>
          </w:tcPr>
          <w:p w:rsidR="00FB1B79" w:rsidRDefault="00FB1B79" w:rsidP="00FB1B79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Scenario </w:t>
            </w:r>
          </w:p>
        </w:tc>
        <w:tc>
          <w:tcPr>
            <w:tcW w:w="2694" w:type="dxa"/>
          </w:tcPr>
          <w:p w:rsidR="00FB1B79" w:rsidRDefault="00FB1B79" w:rsidP="00DC5C5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Maximum PECsw (μg/L) after applying </w:t>
            </w:r>
            <w:r>
              <w:rPr>
                <w:b/>
                <w:bCs/>
                <w:sz w:val="18"/>
                <w:szCs w:val="18"/>
              </w:rPr>
              <w:t>225</w:t>
            </w:r>
            <w:r>
              <w:rPr>
                <w:b/>
                <w:bCs/>
                <w:sz w:val="18"/>
                <w:szCs w:val="18"/>
              </w:rPr>
              <w:t xml:space="preserve"> kg/ha</w:t>
            </w:r>
          </w:p>
        </w:tc>
        <w:tc>
          <w:tcPr>
            <w:tcW w:w="2693" w:type="dxa"/>
          </w:tcPr>
          <w:p w:rsidR="00FB1B79" w:rsidRDefault="00FB1B79" w:rsidP="00DC5C5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Maximum PECsw (μg/L) </w:t>
            </w:r>
            <w:r>
              <w:rPr>
                <w:b/>
                <w:bCs/>
                <w:sz w:val="18"/>
                <w:szCs w:val="18"/>
              </w:rPr>
              <w:t>after applying 450 kg/ha</w:t>
            </w:r>
          </w:p>
        </w:tc>
      </w:tr>
      <w:tr w:rsidR="00FB1B79" w:rsidTr="009C1F33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2371" w:type="dxa"/>
          </w:tcPr>
          <w:p w:rsidR="00FB1B79" w:rsidRDefault="00FB1B7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Drainage D3,ditch</w:t>
            </w:r>
          </w:p>
        </w:tc>
        <w:tc>
          <w:tcPr>
            <w:tcW w:w="2694" w:type="dxa"/>
          </w:tcPr>
          <w:p w:rsidR="00FB1B79" w:rsidRDefault="00FB1B79" w:rsidP="00DC5C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2693" w:type="dxa"/>
          </w:tcPr>
          <w:p w:rsidR="00FB1B79" w:rsidRDefault="00FB1B79" w:rsidP="00DC5C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FB1B79" w:rsidTr="009C1F33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2371" w:type="dxa"/>
          </w:tcPr>
          <w:p w:rsidR="00FB1B79" w:rsidRDefault="00FB1B7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Drainage D4,pond</w:t>
            </w:r>
          </w:p>
        </w:tc>
        <w:tc>
          <w:tcPr>
            <w:tcW w:w="2694" w:type="dxa"/>
          </w:tcPr>
          <w:p w:rsidR="00FB1B79" w:rsidRDefault="00FB1B79" w:rsidP="00DC5C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</w:t>
            </w:r>
          </w:p>
        </w:tc>
        <w:tc>
          <w:tcPr>
            <w:tcW w:w="2693" w:type="dxa"/>
          </w:tcPr>
          <w:p w:rsidR="00FB1B79" w:rsidRDefault="00FB1B79" w:rsidP="00DC5C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0.012</w:t>
            </w:r>
          </w:p>
        </w:tc>
      </w:tr>
      <w:tr w:rsidR="00FB1B79" w:rsidTr="009C1F33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2371" w:type="dxa"/>
          </w:tcPr>
          <w:p w:rsidR="00FB1B79" w:rsidRDefault="00FB1B7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Drainage </w:t>
            </w:r>
            <w:r>
              <w:rPr>
                <w:sz w:val="20"/>
                <w:szCs w:val="20"/>
              </w:rPr>
              <w:t>D4,stream</w:t>
            </w:r>
          </w:p>
        </w:tc>
        <w:tc>
          <w:tcPr>
            <w:tcW w:w="2694" w:type="dxa"/>
          </w:tcPr>
          <w:p w:rsidR="00FB1B79" w:rsidRDefault="00FB1B79" w:rsidP="00DC5C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0.028</w:t>
            </w:r>
          </w:p>
        </w:tc>
        <w:tc>
          <w:tcPr>
            <w:tcW w:w="2693" w:type="dxa"/>
          </w:tcPr>
          <w:p w:rsidR="00FB1B79" w:rsidRDefault="00FB1B79" w:rsidP="00DC5C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0.056</w:t>
            </w:r>
          </w:p>
        </w:tc>
      </w:tr>
      <w:tr w:rsidR="00FB1B79" w:rsidTr="009C1F33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2371" w:type="dxa"/>
          </w:tcPr>
          <w:p w:rsidR="00FB1B79" w:rsidRDefault="00FB1B7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Drainage </w:t>
            </w:r>
            <w:r>
              <w:rPr>
                <w:sz w:val="20"/>
                <w:szCs w:val="20"/>
              </w:rPr>
              <w:t>D5,ppond</w:t>
            </w:r>
          </w:p>
        </w:tc>
        <w:tc>
          <w:tcPr>
            <w:tcW w:w="2694" w:type="dxa"/>
          </w:tcPr>
          <w:p w:rsidR="00FB1B79" w:rsidRDefault="00FB1B79" w:rsidP="00DC5C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2693" w:type="dxa"/>
          </w:tcPr>
          <w:p w:rsidR="00FB1B79" w:rsidRDefault="00FB1B79" w:rsidP="00DC5C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FB1B79" w:rsidTr="009C1F33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2371" w:type="dxa"/>
          </w:tcPr>
          <w:p w:rsidR="00FB1B79" w:rsidRDefault="00FB1B7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Drainage </w:t>
            </w:r>
            <w:r>
              <w:rPr>
                <w:sz w:val="20"/>
                <w:szCs w:val="20"/>
              </w:rPr>
              <w:t>D5,stream</w:t>
            </w:r>
          </w:p>
        </w:tc>
        <w:tc>
          <w:tcPr>
            <w:tcW w:w="2694" w:type="dxa"/>
          </w:tcPr>
          <w:p w:rsidR="00FB1B79" w:rsidRDefault="00FB1B79" w:rsidP="00DC5C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2693" w:type="dxa"/>
          </w:tcPr>
          <w:p w:rsidR="00FB1B79" w:rsidRDefault="00FB1B79" w:rsidP="00DC5C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FB1B79" w:rsidTr="009C1F33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2371" w:type="dxa"/>
          </w:tcPr>
          <w:p w:rsidR="00FB1B79" w:rsidRDefault="00FB1B7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Drainage </w:t>
            </w:r>
            <w:r>
              <w:rPr>
                <w:sz w:val="20"/>
                <w:szCs w:val="20"/>
              </w:rPr>
              <w:t>D6,ditch</w:t>
            </w:r>
          </w:p>
        </w:tc>
        <w:tc>
          <w:tcPr>
            <w:tcW w:w="2694" w:type="dxa"/>
          </w:tcPr>
          <w:p w:rsidR="00FB1B79" w:rsidRDefault="00FB1B79" w:rsidP="00DC5C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2693" w:type="dxa"/>
          </w:tcPr>
          <w:p w:rsidR="00FB1B79" w:rsidRDefault="00FB1B79" w:rsidP="00DC5C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B1B79" w:rsidTr="009C1F33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2371" w:type="dxa"/>
          </w:tcPr>
          <w:p w:rsidR="00FB1B79" w:rsidRDefault="00FB1B7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Run-off R1,pond</w:t>
            </w:r>
          </w:p>
        </w:tc>
        <w:tc>
          <w:tcPr>
            <w:tcW w:w="2694" w:type="dxa"/>
          </w:tcPr>
          <w:p w:rsidR="00FB1B79" w:rsidRDefault="00FB1B79" w:rsidP="00DC5C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</w:t>
            </w:r>
          </w:p>
        </w:tc>
        <w:tc>
          <w:tcPr>
            <w:tcW w:w="2693" w:type="dxa"/>
          </w:tcPr>
          <w:p w:rsidR="00FB1B79" w:rsidRDefault="00FB1B79" w:rsidP="00DC5C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</w:t>
            </w:r>
          </w:p>
        </w:tc>
      </w:tr>
      <w:tr w:rsidR="00FB1B79" w:rsidTr="009C1F33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2371" w:type="dxa"/>
          </w:tcPr>
          <w:p w:rsidR="00FB1B79" w:rsidRDefault="00FB1B7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Run-off </w:t>
            </w:r>
            <w:r>
              <w:rPr>
                <w:sz w:val="20"/>
                <w:szCs w:val="20"/>
              </w:rPr>
              <w:t>R1,stream</w:t>
            </w:r>
          </w:p>
        </w:tc>
        <w:tc>
          <w:tcPr>
            <w:tcW w:w="2694" w:type="dxa"/>
          </w:tcPr>
          <w:p w:rsidR="00FB1B79" w:rsidRDefault="00FB1B79" w:rsidP="00DC5C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2693" w:type="dxa"/>
          </w:tcPr>
          <w:p w:rsidR="00FB1B79" w:rsidRDefault="00FB1B79" w:rsidP="00DC5C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FB1B79" w:rsidTr="009C1F33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2371" w:type="dxa"/>
          </w:tcPr>
          <w:p w:rsidR="00FB1B79" w:rsidRDefault="00FB1B7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Run-off </w:t>
            </w:r>
            <w:r>
              <w:rPr>
                <w:sz w:val="20"/>
                <w:szCs w:val="20"/>
              </w:rPr>
              <w:t>R2,stream</w:t>
            </w:r>
          </w:p>
        </w:tc>
        <w:tc>
          <w:tcPr>
            <w:tcW w:w="2694" w:type="dxa"/>
          </w:tcPr>
          <w:p w:rsidR="00FB1B79" w:rsidRDefault="00FB1B79" w:rsidP="00DC5C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93" w:type="dxa"/>
          </w:tcPr>
          <w:p w:rsidR="00FB1B79" w:rsidRDefault="00FB1B79" w:rsidP="00DC5C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</w:tr>
      <w:tr w:rsidR="00FB1B79" w:rsidTr="009C1F33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2371" w:type="dxa"/>
          </w:tcPr>
          <w:p w:rsidR="00FB1B79" w:rsidRDefault="00FB1B7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Run-off </w:t>
            </w:r>
            <w:r>
              <w:rPr>
                <w:sz w:val="20"/>
                <w:szCs w:val="20"/>
              </w:rPr>
              <w:t>R3,stream</w:t>
            </w:r>
          </w:p>
        </w:tc>
        <w:tc>
          <w:tcPr>
            <w:tcW w:w="2694" w:type="dxa"/>
          </w:tcPr>
          <w:p w:rsidR="00FB1B79" w:rsidRDefault="00FB1B79" w:rsidP="00DC5C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</w:t>
            </w:r>
          </w:p>
        </w:tc>
        <w:tc>
          <w:tcPr>
            <w:tcW w:w="2693" w:type="dxa"/>
          </w:tcPr>
          <w:p w:rsidR="00FB1B79" w:rsidRDefault="00FB1B79" w:rsidP="00DC5C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</w:t>
            </w:r>
          </w:p>
        </w:tc>
      </w:tr>
      <w:tr w:rsidR="00FB1B79" w:rsidTr="009C1F33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2371" w:type="dxa"/>
          </w:tcPr>
          <w:p w:rsidR="00FB1B79" w:rsidRDefault="00FB1B7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Run-off </w:t>
            </w:r>
            <w:r>
              <w:rPr>
                <w:sz w:val="20"/>
                <w:szCs w:val="20"/>
              </w:rPr>
              <w:t>R4,stream</w:t>
            </w:r>
          </w:p>
        </w:tc>
        <w:tc>
          <w:tcPr>
            <w:tcW w:w="2694" w:type="dxa"/>
          </w:tcPr>
          <w:p w:rsidR="00FB1B79" w:rsidRDefault="00FB1B79" w:rsidP="00DC5C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</w:t>
            </w:r>
          </w:p>
        </w:tc>
        <w:tc>
          <w:tcPr>
            <w:tcW w:w="2693" w:type="dxa"/>
          </w:tcPr>
          <w:p w:rsidR="00FB1B79" w:rsidRDefault="00FB1B79" w:rsidP="00DC5C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</w:t>
            </w:r>
          </w:p>
        </w:tc>
      </w:tr>
    </w:tbl>
    <w:p w:rsidR="00FB1B79" w:rsidRDefault="00FB1B79">
      <w:pPr>
        <w:rPr>
          <w:lang w:val="en-GB"/>
        </w:rPr>
      </w:pPr>
    </w:p>
    <w:p w:rsidR="006C7E78" w:rsidRDefault="006C7E78">
      <w:pPr>
        <w:rPr>
          <w:lang w:val="en-GB"/>
        </w:rPr>
      </w:pPr>
      <w:r>
        <w:rPr>
          <w:lang w:val="en-GB"/>
        </w:rPr>
        <w:t xml:space="preserve">The </w:t>
      </w:r>
      <w:r w:rsidR="00C4609E">
        <w:rPr>
          <w:lang w:val="en-GB"/>
        </w:rPr>
        <w:t>four</w:t>
      </w:r>
      <w:r>
        <w:rPr>
          <w:lang w:val="en-GB"/>
        </w:rPr>
        <w:t xml:space="preserve"> run-off scenarios represent situation</w:t>
      </w:r>
      <w:r w:rsidR="00B51242">
        <w:rPr>
          <w:lang w:val="en-GB"/>
        </w:rPr>
        <w:t>s</w:t>
      </w:r>
      <w:r>
        <w:rPr>
          <w:lang w:val="en-GB"/>
        </w:rPr>
        <w:t xml:space="preserve"> in Germany (R1, Weiherbach), </w:t>
      </w:r>
      <w:r w:rsidR="00A13245">
        <w:rPr>
          <w:lang w:val="en-GB"/>
        </w:rPr>
        <w:t xml:space="preserve">Portugal (R2, Porto), Italy (R3, Bologna) and </w:t>
      </w:r>
      <w:r w:rsidR="00B51242">
        <w:rPr>
          <w:lang w:val="en-GB"/>
        </w:rPr>
        <w:t>s</w:t>
      </w:r>
      <w:r w:rsidR="00A13245">
        <w:rPr>
          <w:lang w:val="en-GB"/>
        </w:rPr>
        <w:t>outhern France (R4, Roujan).</w:t>
      </w:r>
    </w:p>
    <w:p w:rsidR="00DC5C5F" w:rsidRDefault="00DC5C5F">
      <w:pPr>
        <w:rPr>
          <w:lang w:val="en-GB"/>
        </w:rPr>
      </w:pPr>
      <w:r>
        <w:rPr>
          <w:lang w:val="en-GB"/>
        </w:rPr>
        <w:t xml:space="preserve">The simulations by SCHER (2016) were based on the assumption that at the time of application the granules instantaneously </w:t>
      </w:r>
      <w:r w:rsidR="00B51242">
        <w:rPr>
          <w:lang w:val="en-GB"/>
        </w:rPr>
        <w:t xml:space="preserve">and completely </w:t>
      </w:r>
      <w:r>
        <w:rPr>
          <w:lang w:val="en-GB"/>
        </w:rPr>
        <w:t xml:space="preserve">hydrolyse to hydrogen cyanamide </w:t>
      </w:r>
      <w:r w:rsidR="00616CED">
        <w:rPr>
          <w:lang w:val="en-GB"/>
        </w:rPr>
        <w:t xml:space="preserve">that then </w:t>
      </w:r>
      <w:r>
        <w:rPr>
          <w:lang w:val="en-GB"/>
        </w:rPr>
        <w:t>directly partition</w:t>
      </w:r>
      <w:r w:rsidR="00616CED">
        <w:rPr>
          <w:lang w:val="en-GB"/>
        </w:rPr>
        <w:t>s</w:t>
      </w:r>
      <w:r>
        <w:rPr>
          <w:lang w:val="en-GB"/>
        </w:rPr>
        <w:t xml:space="preserve"> </w:t>
      </w:r>
      <w:r w:rsidR="00906F6B">
        <w:rPr>
          <w:lang w:val="en-GB"/>
        </w:rPr>
        <w:t xml:space="preserve">to </w:t>
      </w:r>
      <w:r>
        <w:rPr>
          <w:lang w:val="en-GB"/>
        </w:rPr>
        <w:t>soil water. Th</w:t>
      </w:r>
      <w:r w:rsidR="00906F6B">
        <w:rPr>
          <w:lang w:val="en-GB"/>
        </w:rPr>
        <w:t>is</w:t>
      </w:r>
      <w:r>
        <w:rPr>
          <w:lang w:val="en-GB"/>
        </w:rPr>
        <w:t xml:space="preserve"> assumption led to the extremely high concentrations in the surface water body </w:t>
      </w:r>
      <w:r w:rsidR="00616CED">
        <w:rPr>
          <w:lang w:val="en-GB"/>
        </w:rPr>
        <w:t>(</w:t>
      </w:r>
      <w:r w:rsidR="00616CED">
        <w:rPr>
          <w:i/>
          <w:lang w:val="en-GB"/>
        </w:rPr>
        <w:t xml:space="preserve">e.g., </w:t>
      </w:r>
      <w:r w:rsidR="00616CED">
        <w:rPr>
          <w:lang w:val="en-GB"/>
        </w:rPr>
        <w:t xml:space="preserve">6800 µg/L) </w:t>
      </w:r>
      <w:r>
        <w:rPr>
          <w:lang w:val="en-GB"/>
        </w:rPr>
        <w:t>at the edge of the agricultural field</w:t>
      </w:r>
      <w:r w:rsidR="00906F6B">
        <w:rPr>
          <w:lang w:val="en-GB"/>
        </w:rPr>
        <w:t xml:space="preserve"> shortly after the run-off event</w:t>
      </w:r>
      <w:r>
        <w:rPr>
          <w:lang w:val="en-GB"/>
        </w:rPr>
        <w:t>.</w:t>
      </w:r>
    </w:p>
    <w:p w:rsidR="009C1F33" w:rsidRDefault="00DC5C5F">
      <w:pPr>
        <w:rPr>
          <w:lang w:val="en-GB"/>
        </w:rPr>
      </w:pPr>
      <w:r>
        <w:rPr>
          <w:lang w:val="en-GB"/>
        </w:rPr>
        <w:t xml:space="preserve">It is the intention of this study to refine the </w:t>
      </w:r>
      <w:r w:rsidR="009C1F33">
        <w:rPr>
          <w:lang w:val="en-GB"/>
        </w:rPr>
        <w:t xml:space="preserve">FOCUS simulations by considering additional processes </w:t>
      </w:r>
      <w:r w:rsidR="00906F6B">
        <w:rPr>
          <w:lang w:val="en-GB"/>
        </w:rPr>
        <w:t xml:space="preserve">that </w:t>
      </w:r>
      <w:r w:rsidR="009C1F33">
        <w:rPr>
          <w:lang w:val="en-GB"/>
        </w:rPr>
        <w:t>are relevant for an adequate risk assessment of PERKLA.</w:t>
      </w:r>
    </w:p>
    <w:p w:rsidR="009C1F33" w:rsidRPr="008B3020" w:rsidRDefault="009C1F33" w:rsidP="009C1F33">
      <w:pPr>
        <w:rPr>
          <w:i/>
          <w:lang w:val="en-GB"/>
        </w:rPr>
      </w:pPr>
      <w:r>
        <w:rPr>
          <w:lang w:val="en-GB"/>
        </w:rPr>
        <w:br w:type="column"/>
      </w:r>
      <w:r>
        <w:rPr>
          <w:i/>
          <w:lang w:val="en-GB"/>
        </w:rPr>
        <w:lastRenderedPageBreak/>
        <w:t>Refinement strategy</w:t>
      </w:r>
    </w:p>
    <w:p w:rsidR="009C1F33" w:rsidRDefault="009C1F33">
      <w:pPr>
        <w:rPr>
          <w:lang w:val="en-GB"/>
        </w:rPr>
      </w:pPr>
      <w:r>
        <w:rPr>
          <w:lang w:val="en-GB"/>
        </w:rPr>
        <w:t xml:space="preserve">As previously explained the cyanamide concentrations in the different FOCUS surface water scenarios are mainly driven by the high concentrations in soil water directly after application. Though SCHER (2016) considered a short </w:t>
      </w:r>
      <w:r w:rsidR="00630FA9">
        <w:rPr>
          <w:lang w:val="en-GB"/>
        </w:rPr>
        <w:t>half-life</w:t>
      </w:r>
      <w:r>
        <w:rPr>
          <w:lang w:val="en-GB"/>
        </w:rPr>
        <w:t xml:space="preserve"> of 2 days for the </w:t>
      </w:r>
      <w:r w:rsidR="00E961CA">
        <w:rPr>
          <w:lang w:val="en-GB"/>
        </w:rPr>
        <w:t>transformation of cyanamide</w:t>
      </w:r>
      <w:r w:rsidR="00616CED">
        <w:rPr>
          <w:lang w:val="en-GB"/>
        </w:rPr>
        <w:t xml:space="preserve"> </w:t>
      </w:r>
      <w:r w:rsidR="00616CED">
        <w:rPr>
          <w:lang w:val="en-GB"/>
        </w:rPr>
        <w:t xml:space="preserve">(at standard laboratory conditions </w:t>
      </w:r>
      <w:r w:rsidR="00616CED">
        <w:rPr>
          <w:i/>
          <w:lang w:val="en-GB"/>
        </w:rPr>
        <w:t>i.e.,</w:t>
      </w:r>
      <w:r w:rsidR="00616CED">
        <w:rPr>
          <w:lang w:val="en-GB"/>
        </w:rPr>
        <w:t xml:space="preserve"> 20 °C and soil moisture of pF 2)</w:t>
      </w:r>
      <w:r w:rsidR="00E961CA">
        <w:rPr>
          <w:lang w:val="en-GB"/>
        </w:rPr>
        <w:t xml:space="preserve">, but this </w:t>
      </w:r>
      <w:r w:rsidR="00616CED">
        <w:rPr>
          <w:lang w:val="en-GB"/>
        </w:rPr>
        <w:t xml:space="preserve">degradation rate </w:t>
      </w:r>
      <w:r w:rsidR="001A3695">
        <w:rPr>
          <w:lang w:val="en-GB"/>
        </w:rPr>
        <w:t xml:space="preserve">was </w:t>
      </w:r>
      <w:r w:rsidR="00E961CA">
        <w:rPr>
          <w:lang w:val="en-GB"/>
        </w:rPr>
        <w:t xml:space="preserve">finally </w:t>
      </w:r>
      <w:r w:rsidR="001A3695">
        <w:rPr>
          <w:lang w:val="en-GB"/>
        </w:rPr>
        <w:t xml:space="preserve">not substantial due to the short time between </w:t>
      </w:r>
      <w:r w:rsidR="00616CED">
        <w:rPr>
          <w:lang w:val="en-GB"/>
        </w:rPr>
        <w:t xml:space="preserve">PERKLA </w:t>
      </w:r>
      <w:r w:rsidR="001A3695">
        <w:rPr>
          <w:lang w:val="en-GB"/>
        </w:rPr>
        <w:t xml:space="preserve">application and run-off </w:t>
      </w:r>
      <w:r w:rsidR="00E961CA">
        <w:rPr>
          <w:lang w:val="en-GB"/>
        </w:rPr>
        <w:t xml:space="preserve">event </w:t>
      </w:r>
      <w:r w:rsidR="001A3695">
        <w:rPr>
          <w:lang w:val="en-GB"/>
        </w:rPr>
        <w:t>in the FOCUS scenarios.</w:t>
      </w:r>
    </w:p>
    <w:p w:rsidR="001A3695" w:rsidRPr="001A3695" w:rsidRDefault="00616CED">
      <w:pPr>
        <w:rPr>
          <w:lang w:val="en-GB"/>
        </w:rPr>
      </w:pPr>
      <w:r>
        <w:rPr>
          <w:lang w:val="en-GB"/>
        </w:rPr>
        <w:t>I</w:t>
      </w:r>
      <w:r w:rsidR="001A3695">
        <w:rPr>
          <w:lang w:val="en-GB"/>
        </w:rPr>
        <w:t xml:space="preserve">t is </w:t>
      </w:r>
      <w:r>
        <w:rPr>
          <w:lang w:val="en-GB"/>
        </w:rPr>
        <w:t xml:space="preserve">however </w:t>
      </w:r>
      <w:r w:rsidR="001A3695">
        <w:rPr>
          <w:lang w:val="en-GB"/>
        </w:rPr>
        <w:t xml:space="preserve">reasonable to assume that the granules will not instantaneously hydrolyse to hydrogen cyanamide. </w:t>
      </w:r>
      <w:r>
        <w:rPr>
          <w:lang w:val="en-GB"/>
        </w:rPr>
        <w:t>Instead, d</w:t>
      </w:r>
      <w:r w:rsidR="001A3695">
        <w:rPr>
          <w:lang w:val="en-GB"/>
        </w:rPr>
        <w:t>ependent on the climate conditions before the run-off event significant amount of PERKLA may still exist as CaCN</w:t>
      </w:r>
      <w:r w:rsidR="001A3695">
        <w:rPr>
          <w:vertAlign w:val="subscript"/>
          <w:lang w:val="en-GB"/>
        </w:rPr>
        <w:t>2</w:t>
      </w:r>
      <w:r w:rsidR="001A3695">
        <w:rPr>
          <w:lang w:val="en-GB"/>
        </w:rPr>
        <w:t xml:space="preserve">. </w:t>
      </w:r>
    </w:p>
    <w:p w:rsidR="00BD5570" w:rsidRDefault="00E961CA">
      <w:pPr>
        <w:rPr>
          <w:lang w:val="en-GB"/>
        </w:rPr>
      </w:pPr>
      <w:r>
        <w:rPr>
          <w:lang w:val="en-GB"/>
        </w:rPr>
        <w:t xml:space="preserve">As the FOCUS models are able to consider the fate of transformation products </w:t>
      </w:r>
      <w:r w:rsidR="00BD5570">
        <w:rPr>
          <w:lang w:val="en-GB"/>
        </w:rPr>
        <w:t xml:space="preserve">the slow release of </w:t>
      </w:r>
      <w:r w:rsidR="00616CED">
        <w:rPr>
          <w:lang w:val="en-GB"/>
        </w:rPr>
        <w:t>CaCN</w:t>
      </w:r>
      <w:r w:rsidR="00616CED">
        <w:rPr>
          <w:vertAlign w:val="subscript"/>
          <w:lang w:val="en-GB"/>
        </w:rPr>
        <w:t>2</w:t>
      </w:r>
      <w:r w:rsidR="00616CED">
        <w:rPr>
          <w:lang w:val="en-GB"/>
        </w:rPr>
        <w:t xml:space="preserve"> </w:t>
      </w:r>
      <w:r w:rsidR="00BD5570">
        <w:rPr>
          <w:lang w:val="en-GB"/>
        </w:rPr>
        <w:t xml:space="preserve">in granules </w:t>
      </w:r>
      <w:r w:rsidR="00616CED">
        <w:rPr>
          <w:lang w:val="en-GB"/>
        </w:rPr>
        <w:t xml:space="preserve">could </w:t>
      </w:r>
      <w:r w:rsidR="00BD5570">
        <w:rPr>
          <w:lang w:val="en-GB"/>
        </w:rPr>
        <w:t xml:space="preserve">be principally considered in the models. The idea is to </w:t>
      </w:r>
      <w:r w:rsidR="00616CED">
        <w:rPr>
          <w:lang w:val="en-GB"/>
        </w:rPr>
        <w:t xml:space="preserve">define </w:t>
      </w:r>
      <w:r w:rsidR="00BD5570">
        <w:rPr>
          <w:lang w:val="en-GB"/>
        </w:rPr>
        <w:t xml:space="preserve">a cascade of compounds for the refined FOCUS simulations instead of </w:t>
      </w:r>
      <w:r w:rsidR="00616CED">
        <w:rPr>
          <w:lang w:val="en-GB"/>
        </w:rPr>
        <w:t xml:space="preserve">only </w:t>
      </w:r>
      <w:r w:rsidR="00BD5570">
        <w:rPr>
          <w:lang w:val="en-GB"/>
        </w:rPr>
        <w:t>cy</w:t>
      </w:r>
      <w:r w:rsidR="00630FA9">
        <w:rPr>
          <w:lang w:val="en-GB"/>
        </w:rPr>
        <w:t>a</w:t>
      </w:r>
      <w:r w:rsidR="00BD5570">
        <w:rPr>
          <w:lang w:val="en-GB"/>
        </w:rPr>
        <w:t>namide as done by SCHER (2016):</w:t>
      </w:r>
    </w:p>
    <w:p w:rsidR="00BD5570" w:rsidRDefault="00BD5570">
      <w:pPr>
        <w:rPr>
          <w:lang w:val="en-GB"/>
        </w:rPr>
      </w:pPr>
      <w:r>
        <w:rPr>
          <w:lang w:val="en-GB"/>
        </w:rPr>
        <w:t>PERKLA -&gt; hydrogen cyanamide -&gt; urea</w:t>
      </w:r>
    </w:p>
    <w:p w:rsidR="006C7E78" w:rsidRDefault="00BD5570">
      <w:pPr>
        <w:rPr>
          <w:lang w:val="en-GB"/>
        </w:rPr>
      </w:pPr>
      <w:r>
        <w:rPr>
          <w:lang w:val="en-GB"/>
        </w:rPr>
        <w:t>However, for the refinement it is essential to determine the hydrolysis of CaCN</w:t>
      </w:r>
      <w:r>
        <w:rPr>
          <w:vertAlign w:val="subscript"/>
          <w:lang w:val="en-GB"/>
        </w:rPr>
        <w:t>2</w:t>
      </w:r>
      <w:r>
        <w:rPr>
          <w:lang w:val="en-GB"/>
        </w:rPr>
        <w:t xml:space="preserve"> in PERKLA </w:t>
      </w:r>
      <w:r w:rsidR="00616CED">
        <w:rPr>
          <w:lang w:val="en-GB"/>
        </w:rPr>
        <w:t xml:space="preserve">and the formation of urea </w:t>
      </w:r>
      <w:r>
        <w:rPr>
          <w:lang w:val="en-GB"/>
        </w:rPr>
        <w:t xml:space="preserve">under different experimental conditions to obtain meaningful input parameters for the FOCUS models. </w:t>
      </w:r>
    </w:p>
    <w:p w:rsidR="00BD5570" w:rsidRDefault="006C7E78">
      <w:pPr>
        <w:rPr>
          <w:lang w:val="en-GB"/>
        </w:rPr>
      </w:pPr>
      <w:r>
        <w:rPr>
          <w:lang w:val="en-GB"/>
        </w:rPr>
        <w:t xml:space="preserve">Following situations with regard to the formation of hydrogen </w:t>
      </w:r>
      <w:r w:rsidR="00C62C02">
        <w:rPr>
          <w:lang w:val="en-GB"/>
        </w:rPr>
        <w:t>cyan amide</w:t>
      </w:r>
      <w:r>
        <w:rPr>
          <w:lang w:val="en-GB"/>
        </w:rPr>
        <w:t xml:space="preserve"> should be covered by the experimental studies:</w:t>
      </w:r>
    </w:p>
    <w:p w:rsidR="00E961CA" w:rsidRPr="00906F6B" w:rsidRDefault="006C7E78" w:rsidP="00906F6B">
      <w:pPr>
        <w:pStyle w:val="Listenabsatz"/>
        <w:numPr>
          <w:ilvl w:val="0"/>
          <w:numId w:val="1"/>
        </w:numPr>
        <w:rPr>
          <w:lang w:val="en-GB"/>
        </w:rPr>
      </w:pPr>
      <w:r w:rsidRPr="00906F6B">
        <w:rPr>
          <w:lang w:val="en-GB"/>
        </w:rPr>
        <w:t xml:space="preserve">Application to the soil surface </w:t>
      </w:r>
      <w:r w:rsidR="00616CED">
        <w:rPr>
          <w:lang w:val="en-GB"/>
        </w:rPr>
        <w:t xml:space="preserve">and </w:t>
      </w:r>
      <w:r w:rsidRPr="00906F6B">
        <w:rPr>
          <w:lang w:val="en-GB"/>
        </w:rPr>
        <w:t xml:space="preserve">incorporation </w:t>
      </w:r>
      <w:r w:rsidR="00616CED">
        <w:rPr>
          <w:lang w:val="en-GB"/>
        </w:rPr>
        <w:t>into the soil</w:t>
      </w:r>
    </w:p>
    <w:p w:rsidR="006C7E78" w:rsidRPr="00906F6B" w:rsidRDefault="006C7E78" w:rsidP="00906F6B">
      <w:pPr>
        <w:pStyle w:val="Listenabsatz"/>
        <w:numPr>
          <w:ilvl w:val="0"/>
          <w:numId w:val="1"/>
        </w:numPr>
        <w:rPr>
          <w:lang w:val="en-GB"/>
        </w:rPr>
      </w:pPr>
      <w:r w:rsidRPr="00906F6B">
        <w:rPr>
          <w:lang w:val="en-GB"/>
        </w:rPr>
        <w:t>Different soil types (considering the properties of the FOCUS scenario soils)</w:t>
      </w:r>
    </w:p>
    <w:p w:rsidR="006C7E78" w:rsidRPr="00906F6B" w:rsidRDefault="006C7E78" w:rsidP="00906F6B">
      <w:pPr>
        <w:pStyle w:val="Listenabsatz"/>
        <w:numPr>
          <w:ilvl w:val="0"/>
          <w:numId w:val="1"/>
        </w:numPr>
        <w:rPr>
          <w:lang w:val="en-GB"/>
        </w:rPr>
      </w:pPr>
      <w:r w:rsidRPr="00906F6B">
        <w:rPr>
          <w:lang w:val="en-GB"/>
        </w:rPr>
        <w:t xml:space="preserve">Different </w:t>
      </w:r>
      <w:r w:rsidR="00906F6B">
        <w:rPr>
          <w:lang w:val="en-GB"/>
        </w:rPr>
        <w:t xml:space="preserve">soil </w:t>
      </w:r>
      <w:r w:rsidRPr="00906F6B">
        <w:rPr>
          <w:lang w:val="en-GB"/>
        </w:rPr>
        <w:t>temperature</w:t>
      </w:r>
      <w:r w:rsidR="00906F6B">
        <w:rPr>
          <w:lang w:val="en-GB"/>
        </w:rPr>
        <w:t>s</w:t>
      </w:r>
      <w:r w:rsidRPr="00906F6B">
        <w:rPr>
          <w:lang w:val="en-GB"/>
        </w:rPr>
        <w:t xml:space="preserve"> to consider the </w:t>
      </w:r>
      <w:r w:rsidR="00906F6B" w:rsidRPr="00906F6B">
        <w:rPr>
          <w:lang w:val="en-GB"/>
        </w:rPr>
        <w:t xml:space="preserve">climatic </w:t>
      </w:r>
      <w:r w:rsidRPr="00906F6B">
        <w:rPr>
          <w:lang w:val="en-GB"/>
        </w:rPr>
        <w:t>conditions at the FOCUS locations.</w:t>
      </w:r>
    </w:p>
    <w:p w:rsidR="006C7E78" w:rsidRPr="00906F6B" w:rsidRDefault="00906F6B" w:rsidP="00906F6B">
      <w:pPr>
        <w:pStyle w:val="Listenabsatz"/>
        <w:numPr>
          <w:ilvl w:val="0"/>
          <w:numId w:val="1"/>
        </w:numPr>
        <w:rPr>
          <w:lang w:val="en-GB"/>
        </w:rPr>
      </w:pPr>
      <w:r w:rsidRPr="00906F6B">
        <w:rPr>
          <w:lang w:val="en-GB"/>
        </w:rPr>
        <w:t>Different soil moisture</w:t>
      </w:r>
    </w:p>
    <w:p w:rsidR="00906F6B" w:rsidRDefault="00906F6B">
      <w:pPr>
        <w:rPr>
          <w:lang w:val="en-GB"/>
        </w:rPr>
      </w:pPr>
      <w:r>
        <w:rPr>
          <w:lang w:val="en-GB"/>
        </w:rPr>
        <w:t>Based on these results more realistic estimation of cy</w:t>
      </w:r>
      <w:r w:rsidR="00630FA9">
        <w:rPr>
          <w:lang w:val="en-GB"/>
        </w:rPr>
        <w:t>a</w:t>
      </w:r>
      <w:r>
        <w:rPr>
          <w:lang w:val="en-GB"/>
        </w:rPr>
        <w:t>n</w:t>
      </w:r>
      <w:r w:rsidR="00630FA9">
        <w:rPr>
          <w:lang w:val="en-GB"/>
        </w:rPr>
        <w:t xml:space="preserve"> </w:t>
      </w:r>
      <w:r>
        <w:rPr>
          <w:lang w:val="en-GB"/>
        </w:rPr>
        <w:t xml:space="preserve">amide in soil water </w:t>
      </w:r>
      <w:r w:rsidR="00C62C02">
        <w:rPr>
          <w:lang w:val="en-GB"/>
        </w:rPr>
        <w:t xml:space="preserve">are expected </w:t>
      </w:r>
      <w:r>
        <w:rPr>
          <w:lang w:val="en-GB"/>
        </w:rPr>
        <w:t xml:space="preserve">for the FOCUS simulations before the run-off event. This will lead to simulations </w:t>
      </w:r>
      <w:r w:rsidR="00630FA9">
        <w:rPr>
          <w:lang w:val="en-GB"/>
        </w:rPr>
        <w:t xml:space="preserve">that better describe </w:t>
      </w:r>
      <w:r w:rsidR="00C62C02">
        <w:rPr>
          <w:lang w:val="en-GB"/>
        </w:rPr>
        <w:t xml:space="preserve">the transport of </w:t>
      </w:r>
      <w:r w:rsidR="00C62C02">
        <w:rPr>
          <w:lang w:val="en-GB"/>
        </w:rPr>
        <w:t xml:space="preserve">cyanamide </w:t>
      </w:r>
      <w:r w:rsidR="00C62C02">
        <w:rPr>
          <w:lang w:val="en-GB"/>
        </w:rPr>
        <w:t>via run-off and should significantly reduce the calculated maximum CN</w:t>
      </w:r>
      <w:r w:rsidR="00C62C02">
        <w:rPr>
          <w:vertAlign w:val="subscript"/>
          <w:lang w:val="en-GB"/>
        </w:rPr>
        <w:t>2</w:t>
      </w:r>
      <w:r w:rsidR="00C62C02">
        <w:rPr>
          <w:vertAlign w:val="superscript"/>
          <w:lang w:val="en-GB"/>
        </w:rPr>
        <w:t>2-</w:t>
      </w:r>
      <w:r w:rsidR="00C62C02">
        <w:rPr>
          <w:lang w:val="en-GB"/>
        </w:rPr>
        <w:t xml:space="preserve"> concentrations in the </w:t>
      </w:r>
      <w:r>
        <w:rPr>
          <w:lang w:val="en-GB"/>
        </w:rPr>
        <w:t>surface water bodies</w:t>
      </w:r>
      <w:r w:rsidR="00C62C02">
        <w:rPr>
          <w:lang w:val="en-GB"/>
        </w:rPr>
        <w:t xml:space="preserve"> at the edge of the agricultural field</w:t>
      </w:r>
      <w:r>
        <w:rPr>
          <w:lang w:val="en-GB"/>
        </w:rPr>
        <w:t>.</w:t>
      </w:r>
    </w:p>
    <w:p w:rsidR="00906F6B" w:rsidRDefault="00906F6B">
      <w:pPr>
        <w:rPr>
          <w:lang w:val="en-GB"/>
        </w:rPr>
      </w:pPr>
      <w:r>
        <w:rPr>
          <w:lang w:val="en-GB"/>
        </w:rPr>
        <w:t xml:space="preserve">It can be further assumed that </w:t>
      </w:r>
      <w:r w:rsidR="00C62C02">
        <w:rPr>
          <w:lang w:val="en-GB"/>
        </w:rPr>
        <w:t xml:space="preserve">the PERKLA </w:t>
      </w:r>
      <w:r>
        <w:rPr>
          <w:lang w:val="en-GB"/>
        </w:rPr>
        <w:t xml:space="preserve">granules </w:t>
      </w:r>
      <w:r w:rsidR="00C62C02">
        <w:rPr>
          <w:lang w:val="en-GB"/>
        </w:rPr>
        <w:t xml:space="preserve">themselves </w:t>
      </w:r>
      <w:r>
        <w:rPr>
          <w:lang w:val="en-GB"/>
        </w:rPr>
        <w:t xml:space="preserve">will not reach surface water </w:t>
      </w:r>
      <w:r w:rsidR="00C62C02">
        <w:rPr>
          <w:lang w:val="en-GB"/>
        </w:rPr>
        <w:t xml:space="preserve">directly </w:t>
      </w:r>
      <w:r>
        <w:rPr>
          <w:lang w:val="en-GB"/>
        </w:rPr>
        <w:t xml:space="preserve">since this </w:t>
      </w:r>
      <w:r w:rsidR="00C62C02">
        <w:rPr>
          <w:lang w:val="en-GB"/>
        </w:rPr>
        <w:t>would require agricultural fields with significant slope. However, a</w:t>
      </w:r>
      <w:r w:rsidR="00B51242">
        <w:rPr>
          <w:lang w:val="en-GB"/>
        </w:rPr>
        <w:t xml:space="preserve">s PERKLA will not be applied on </w:t>
      </w:r>
      <w:r w:rsidR="00C62C02">
        <w:rPr>
          <w:lang w:val="en-GB"/>
        </w:rPr>
        <w:t xml:space="preserve">such </w:t>
      </w:r>
      <w:r w:rsidR="00B51242">
        <w:rPr>
          <w:lang w:val="en-GB"/>
        </w:rPr>
        <w:t>fields th</w:t>
      </w:r>
      <w:r w:rsidR="00C62C02">
        <w:rPr>
          <w:lang w:val="en-GB"/>
        </w:rPr>
        <w:t>is</w:t>
      </w:r>
      <w:r w:rsidR="00B51242">
        <w:rPr>
          <w:lang w:val="en-GB"/>
        </w:rPr>
        <w:t xml:space="preserve"> direct transport of granules into the surface water bodies can be excluded.</w:t>
      </w:r>
    </w:p>
    <w:sectPr w:rsidR="00906F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8354D"/>
    <w:multiLevelType w:val="hybridMultilevel"/>
    <w:tmpl w:val="0CBA8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8B"/>
    <w:rsid w:val="00024CCD"/>
    <w:rsid w:val="00035955"/>
    <w:rsid w:val="000B0BEE"/>
    <w:rsid w:val="000D5871"/>
    <w:rsid w:val="00103995"/>
    <w:rsid w:val="00113EA2"/>
    <w:rsid w:val="001529D8"/>
    <w:rsid w:val="00165B46"/>
    <w:rsid w:val="00177B4B"/>
    <w:rsid w:val="00182657"/>
    <w:rsid w:val="0019585B"/>
    <w:rsid w:val="001A3695"/>
    <w:rsid w:val="001C07BB"/>
    <w:rsid w:val="00211996"/>
    <w:rsid w:val="003C4066"/>
    <w:rsid w:val="004549AF"/>
    <w:rsid w:val="004C5FD6"/>
    <w:rsid w:val="005A5696"/>
    <w:rsid w:val="00616CED"/>
    <w:rsid w:val="00620E5B"/>
    <w:rsid w:val="00630FA9"/>
    <w:rsid w:val="006C7E78"/>
    <w:rsid w:val="00756729"/>
    <w:rsid w:val="00771F08"/>
    <w:rsid w:val="007B7621"/>
    <w:rsid w:val="00835715"/>
    <w:rsid w:val="008B3020"/>
    <w:rsid w:val="00906F6B"/>
    <w:rsid w:val="00956749"/>
    <w:rsid w:val="009C1F33"/>
    <w:rsid w:val="009E3C50"/>
    <w:rsid w:val="009F7CDD"/>
    <w:rsid w:val="00A13245"/>
    <w:rsid w:val="00A22143"/>
    <w:rsid w:val="00A52BAB"/>
    <w:rsid w:val="00A87C23"/>
    <w:rsid w:val="00AD748B"/>
    <w:rsid w:val="00B02046"/>
    <w:rsid w:val="00B51242"/>
    <w:rsid w:val="00B762AB"/>
    <w:rsid w:val="00BB7C32"/>
    <w:rsid w:val="00BD5570"/>
    <w:rsid w:val="00BF0C85"/>
    <w:rsid w:val="00C04310"/>
    <w:rsid w:val="00C17808"/>
    <w:rsid w:val="00C4609E"/>
    <w:rsid w:val="00C62C02"/>
    <w:rsid w:val="00C70823"/>
    <w:rsid w:val="00D240E3"/>
    <w:rsid w:val="00D45E26"/>
    <w:rsid w:val="00D813FD"/>
    <w:rsid w:val="00DC5C5F"/>
    <w:rsid w:val="00DE7A46"/>
    <w:rsid w:val="00E35BB5"/>
    <w:rsid w:val="00E52C7F"/>
    <w:rsid w:val="00E85A49"/>
    <w:rsid w:val="00E961CA"/>
    <w:rsid w:val="00F333B6"/>
    <w:rsid w:val="00F93B4C"/>
    <w:rsid w:val="00FA6059"/>
    <w:rsid w:val="00FB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90D18"/>
  <w15:docId w15:val="{630D5810-CE2F-4482-8361-D04430E3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13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1B7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Listenabsatz">
    <w:name w:val="List Paragraph"/>
    <w:basedOn w:val="Standard"/>
    <w:uiPriority w:val="34"/>
    <w:qFormat/>
    <w:rsid w:val="00906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Mesocosm GmbH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Klein</dc:creator>
  <cp:lastModifiedBy>Michael Klein</cp:lastModifiedBy>
  <cp:revision>5</cp:revision>
  <dcterms:created xsi:type="dcterms:W3CDTF">2018-01-12T12:15:00Z</dcterms:created>
  <dcterms:modified xsi:type="dcterms:W3CDTF">2018-01-12T13:41:00Z</dcterms:modified>
</cp:coreProperties>
</file>